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720"/>
        <w:gridCol w:w="3094"/>
        <w:gridCol w:w="2332"/>
      </w:tblGrid>
      <w:tr w:rsidR="00AE68D0" w14:paraId="0C30262C" w14:textId="77777777">
        <w:trPr>
          <w:jc w:val="center"/>
        </w:trPr>
        <w:tc>
          <w:tcPr>
            <w:tcW w:w="1701" w:type="dxa"/>
            <w:gridSpan w:val="2"/>
            <w:tcBorders>
              <w:top w:val="single" w:sz="48" w:space="0" w:color="0000FF"/>
              <w:left w:val="single" w:sz="48" w:space="0" w:color="0000FF"/>
              <w:bottom w:val="single" w:sz="2" w:space="0" w:color="auto"/>
              <w:right w:val="single" w:sz="2" w:space="0" w:color="auto"/>
            </w:tcBorders>
          </w:tcPr>
          <w:p w14:paraId="5B0BA833" w14:textId="77777777"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017EE5">
              <w:rPr>
                <w:rFonts w:ascii="Arial" w:hAnsi="Arial"/>
              </w:rPr>
              <w:t>0049</w:t>
            </w:r>
          </w:p>
          <w:p w14:paraId="6940A54F" w14:textId="7F518BEA" w:rsidR="00AE68D0" w:rsidRDefault="00AE68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D25ECF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14" w:type="dxa"/>
            <w:gridSpan w:val="2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C068" w14:textId="150A934E" w:rsidR="00AE68D0" w:rsidRDefault="00D25ECF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AE68D0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1A6C4786" w14:textId="51E44C7C" w:rsidR="00AE68D0" w:rsidRDefault="00AE68D0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2" w:type="dxa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48" w:space="0" w:color="0000FF"/>
            </w:tcBorders>
          </w:tcPr>
          <w:p w14:paraId="4700AF54" w14:textId="77777777" w:rsidR="00AE68D0" w:rsidRDefault="00AE68D0">
            <w:pPr>
              <w:tabs>
                <w:tab w:val="center" w:pos="173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fldChar w:fldCharType="separate"/>
            </w:r>
            <w:r w:rsidR="0014476E">
              <w:rPr>
                <w:rFonts w:ascii="Arial" w:hAnsi="Arial"/>
                <w:sz w:val="16"/>
              </w:rPr>
              <w:t>MM/jahr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00530695" w14:textId="77777777" w:rsidR="00AE68D0" w:rsidRDefault="00AE68D0">
            <w:pPr>
              <w:tabs>
                <w:tab w:val="center" w:pos="17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 w14:paraId="0A7F610E" w14:textId="77777777">
        <w:trPr>
          <w:jc w:val="center"/>
        </w:trPr>
        <w:tc>
          <w:tcPr>
            <w:tcW w:w="5421" w:type="dxa"/>
            <w:gridSpan w:val="3"/>
            <w:tcBorders>
              <w:top w:val="single" w:sz="2" w:space="0" w:color="auto"/>
              <w:left w:val="single" w:sz="48" w:space="0" w:color="0000FF"/>
              <w:bottom w:val="nil"/>
              <w:right w:val="single" w:sz="2" w:space="0" w:color="auto"/>
            </w:tcBorders>
          </w:tcPr>
          <w:p w14:paraId="2E3527A0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54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8" w:space="0" w:color="0000FF"/>
            </w:tcBorders>
          </w:tcPr>
          <w:p w14:paraId="483DEB79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 w14:paraId="4C086CDA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53BB1B05" w14:textId="77777777" w:rsidR="00AE68D0" w:rsidRDefault="00634879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E68D0" w14:paraId="3A71EAA8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7A44BF75" w14:textId="77777777" w:rsidR="00AE68D0" w:rsidRPr="00B147FD" w:rsidRDefault="00017EE5" w:rsidP="00B147FD">
            <w:pPr>
              <w:spacing w:before="72" w:after="72"/>
              <w:ind w:left="1361" w:right="136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147FD">
              <w:rPr>
                <w:rFonts w:ascii="Arial" w:hAnsi="Arial"/>
                <w:b/>
                <w:sz w:val="24"/>
                <w:szCs w:val="24"/>
              </w:rPr>
              <w:t>Diese Betriebsanweisung gilt für das Arbeiten an Bandsägen.</w:t>
            </w:r>
          </w:p>
        </w:tc>
      </w:tr>
      <w:tr w:rsidR="00AE68D0" w14:paraId="317F5464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3F441250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AE68D0" w14:paraId="2811756B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7CD5452F" w14:textId="77777777" w:rsidR="00AE68D0" w:rsidRDefault="002A2412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10200" w:dyaOrig="8865" w14:anchorId="0B8873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2.5pt" o:ole="">
                  <v:imagedata r:id="rId5" o:title=""/>
                </v:shape>
                <o:OLEObject Type="Embed" ProgID="PBrush" ShapeID="_x0000_i1025" DrawAspect="Content" ObjectID="_1738579945" r:id="rId6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1CCC1982" w14:textId="77777777" w:rsidR="00AE68D0" w:rsidRPr="00B147FD" w:rsidRDefault="00017EE5" w:rsidP="00B147FD">
            <w:pPr>
              <w:numPr>
                <w:ilvl w:val="0"/>
                <w:numId w:val="5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Das Verkanten von Werkstücken kann zum Reißen des Bandsägeblattes führen und schwere Verletzungen verursachen.</w:t>
            </w:r>
          </w:p>
          <w:p w14:paraId="5CFB4666" w14:textId="77777777" w:rsidR="00017EE5" w:rsidRPr="00B147FD" w:rsidRDefault="00017EE5" w:rsidP="00B147FD">
            <w:pPr>
              <w:numPr>
                <w:ilvl w:val="0"/>
                <w:numId w:val="5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Es bestehen schwerste Schnittverletzungsgefahren durch das laufende Sägeblatt.</w:t>
            </w:r>
          </w:p>
          <w:p w14:paraId="2EC89D68" w14:textId="77777777" w:rsidR="00017EE5" w:rsidRPr="00B147FD" w:rsidRDefault="00017EE5" w:rsidP="00B147FD">
            <w:pPr>
              <w:numPr>
                <w:ilvl w:val="0"/>
                <w:numId w:val="5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Beim Arbeiten an Bandsägen wird ein hoher Lärmpegel erreicht, so dass die Gefahr eines Gehörschadens besteht.</w:t>
            </w:r>
          </w:p>
          <w:p w14:paraId="614B7D44" w14:textId="77777777" w:rsidR="00017EE5" w:rsidRDefault="00017EE5" w:rsidP="00B147FD">
            <w:pPr>
              <w:numPr>
                <w:ilvl w:val="0"/>
                <w:numId w:val="5"/>
              </w:numPr>
              <w:tabs>
                <w:tab w:val="clear" w:pos="357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 w:rsidRPr="00B147FD">
              <w:rPr>
                <w:rFonts w:ascii="Arial" w:hAnsi="Arial"/>
              </w:rPr>
              <w:t>Holzstaubbelastung.</w:t>
            </w:r>
          </w:p>
        </w:tc>
      </w:tr>
      <w:tr w:rsidR="00AE68D0" w14:paraId="5E6B3B47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40D249EF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017EE5" w14:paraId="00E2B11A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52CDEA62" w14:textId="77777777" w:rsidR="00017EE5" w:rsidRDefault="002A2412" w:rsidP="00B147FD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0CC7B3E3">
                <v:shape id="_x0000_i1026" type="#_x0000_t75" style="width:60pt;height:60pt" o:ole="">
                  <v:imagedata r:id="rId7" o:title=""/>
                </v:shape>
                <o:OLEObject Type="Embed" ProgID="PBrush" ShapeID="_x0000_i1026" DrawAspect="Content" ObjectID="_1738579946" r:id="rId8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40A59867" w14:textId="77777777" w:rsidR="00017EE5" w:rsidRPr="00B147FD" w:rsidRDefault="00017EE5" w:rsidP="0079061B">
            <w:pPr>
              <w:numPr>
                <w:ilvl w:val="0"/>
                <w:numId w:val="2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Beschäftigungsbeschränkung für Jungendliche beachten.</w:t>
            </w:r>
          </w:p>
          <w:p w14:paraId="2BD4895A" w14:textId="77777777" w:rsidR="00017EE5" w:rsidRPr="00B147FD" w:rsidRDefault="00017EE5" w:rsidP="0079061B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Eng</w:t>
            </w:r>
            <w:r w:rsidR="00B147FD">
              <w:rPr>
                <w:rFonts w:ascii="Arial" w:hAnsi="Arial"/>
              </w:rPr>
              <w:t xml:space="preserve"> </w:t>
            </w:r>
            <w:r w:rsidRPr="00B147FD">
              <w:rPr>
                <w:rFonts w:ascii="Arial" w:hAnsi="Arial"/>
              </w:rPr>
              <w:t>anliegende Kleidung tragen.</w:t>
            </w:r>
          </w:p>
          <w:p w14:paraId="13A604AF" w14:textId="77777777" w:rsidR="00017EE5" w:rsidRPr="00B147FD" w:rsidRDefault="00017EE5" w:rsidP="0079061B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Ge</w:t>
            </w:r>
            <w:r w:rsidR="000A0EC0" w:rsidRPr="00B147FD">
              <w:rPr>
                <w:rFonts w:ascii="Arial" w:hAnsi="Arial"/>
              </w:rPr>
              <w:t>hörschutz benutzen.</w:t>
            </w:r>
          </w:p>
          <w:p w14:paraId="630E6FE2" w14:textId="77777777" w:rsidR="000A0EC0" w:rsidRPr="00B147FD" w:rsidRDefault="000A0EC0" w:rsidP="0079061B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Seitenführung der Sägeblattführung bis dicht an den Zahngrund heranstellen. Rückenrollen auf ca. 0,5 mm</w:t>
            </w:r>
            <w:r w:rsidR="00B147FD">
              <w:rPr>
                <w:rFonts w:ascii="Arial" w:hAnsi="Arial"/>
              </w:rPr>
              <w:t xml:space="preserve"> </w:t>
            </w:r>
            <w:r w:rsidRPr="00B147FD">
              <w:rPr>
                <w:rFonts w:ascii="Arial" w:hAnsi="Arial"/>
              </w:rPr>
              <w:t>Abstand zum Sägeblatt einstellen. Die Rückenrolle soll nur während des Schneidvorganges mitlaufen.</w:t>
            </w:r>
          </w:p>
          <w:p w14:paraId="3BE727CA" w14:textId="77777777" w:rsidR="000A0EC0" w:rsidRPr="00B147FD" w:rsidRDefault="000A0EC0" w:rsidP="0079061B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Höhenverstellbare Verdeckung entsprechend dem zu bearbeitenden Werkstück einstellen. Darauf achten, dass das Sägeblatt bis auf den zum</w:t>
            </w:r>
            <w:r w:rsidR="00B147FD">
              <w:rPr>
                <w:rFonts w:ascii="Arial" w:hAnsi="Arial"/>
              </w:rPr>
              <w:t xml:space="preserve"> </w:t>
            </w:r>
            <w:r w:rsidRPr="00B147FD">
              <w:rPr>
                <w:rFonts w:ascii="Arial" w:hAnsi="Arial"/>
              </w:rPr>
              <w:t>Schneiden benötigten Teil verkleidet ist. Beim Werkstückverschub Hände flach auf das We</w:t>
            </w:r>
            <w:r w:rsidR="00B147FD">
              <w:rPr>
                <w:rFonts w:ascii="Arial" w:hAnsi="Arial"/>
              </w:rPr>
              <w:t>rkstück legen, Finger nicht spr</w:t>
            </w:r>
            <w:r w:rsidRPr="00B147FD">
              <w:rPr>
                <w:rFonts w:ascii="Arial" w:hAnsi="Arial"/>
              </w:rPr>
              <w:t>e</w:t>
            </w:r>
            <w:r w:rsidR="00B147FD">
              <w:rPr>
                <w:rFonts w:ascii="Arial" w:hAnsi="Arial"/>
              </w:rPr>
              <w:t>i</w:t>
            </w:r>
            <w:r w:rsidRPr="00B147FD">
              <w:rPr>
                <w:rFonts w:ascii="Arial" w:hAnsi="Arial"/>
              </w:rPr>
              <w:t>zen. Werkstück nicht zurückziehen, weil hier durch das Sägeblatt von den Rollen ablaufen kann. Werkstück so verschieben, dass die Schnittfuge nicht schließt.</w:t>
            </w:r>
          </w:p>
          <w:p w14:paraId="2DEE3F6F" w14:textId="77777777" w:rsidR="000A0EC0" w:rsidRPr="00B147FD" w:rsidRDefault="000A0EC0" w:rsidP="0079061B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Bei Hochkantquerschnitten immer die untere Kante dem Sägeblatt zuerst zuführen. Hilfseinrichtungen auch bei Einzelstücken benutzen, zum Beispiel Tischverlängerungen beim Auftrennen längerer Werkstücke, Anschlag und Anlegewinkel zum seitlichen Abstü</w:t>
            </w:r>
            <w:r w:rsidR="00B147FD">
              <w:rPr>
                <w:rFonts w:ascii="Arial" w:hAnsi="Arial"/>
              </w:rPr>
              <w:t>t</w:t>
            </w:r>
            <w:r w:rsidRPr="00B147FD">
              <w:rPr>
                <w:rFonts w:ascii="Arial" w:hAnsi="Arial"/>
              </w:rPr>
              <w:t>zen langer und hoher Werkstücke, Keilstütze zum Schneiden von Rundhölzern, Vorrichtungen zum Schneiden von</w:t>
            </w:r>
            <w:r w:rsidR="00B147FD">
              <w:rPr>
                <w:rFonts w:ascii="Arial" w:hAnsi="Arial"/>
              </w:rPr>
              <w:t xml:space="preserve"> </w:t>
            </w:r>
            <w:r w:rsidRPr="00B147FD">
              <w:rPr>
                <w:rFonts w:ascii="Arial" w:hAnsi="Arial"/>
              </w:rPr>
              <w:t>Dreiecksleisten, Keilschneidelade zum Schneiden von keilen verwenden.</w:t>
            </w:r>
          </w:p>
          <w:p w14:paraId="28045101" w14:textId="77777777" w:rsidR="000A0EC0" w:rsidRPr="00B147FD" w:rsidRDefault="000A0EC0" w:rsidP="0079061B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Tischeinlage auswechseln, wenn sie nicht mehr mit der Tischoberfläche bündig ist, wenn beiderseits der Schnittfuge ein Spalt von &gt; 3 mm vorhanden ist. Bandspannung beobachten und Bandsägeblatt gegebenenfalls nachspannen.</w:t>
            </w:r>
          </w:p>
          <w:p w14:paraId="48A4585F" w14:textId="77777777" w:rsidR="000A0EC0" w:rsidRPr="00B147FD" w:rsidRDefault="000A0EC0" w:rsidP="0079061B">
            <w:pPr>
              <w:numPr>
                <w:ilvl w:val="0"/>
                <w:numId w:val="2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Bei Holzarbeiten vor Beginn der Arbeiten Absauganlage einschalten und Schieber am Absaugstutzen der Maschine öffnen. Splitter, Späne und Abfälle nicht mit der Hand aus dem Gefahrenbereich entfernen.</w:t>
            </w:r>
          </w:p>
          <w:p w14:paraId="63DF1983" w14:textId="77777777" w:rsidR="000A0EC0" w:rsidRDefault="000A0EC0" w:rsidP="0079061B">
            <w:pPr>
              <w:numPr>
                <w:ilvl w:val="0"/>
                <w:numId w:val="2"/>
              </w:numPr>
              <w:tabs>
                <w:tab w:val="clear" w:pos="357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 w:rsidRPr="00B147FD">
              <w:rPr>
                <w:rFonts w:ascii="Arial" w:hAnsi="Arial"/>
              </w:rPr>
              <w:t>Auch bei kurzen Unterbrechungen maschine abschalten, nachlaufendes Sägeblatt verdecken. Keine rissigen, stumpfen Sägeblätter oder Sägeblätter mit Schärf- und Schrankfehlern verwenden.</w:t>
            </w:r>
          </w:p>
        </w:tc>
      </w:tr>
      <w:tr w:rsidR="00AE68D0" w14:paraId="04578193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13B0E540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VERHALTEN </w:t>
            </w:r>
            <w:r w:rsidR="0079061B">
              <w:rPr>
                <w:rFonts w:ascii="Arial" w:hAnsi="Arial"/>
                <w:spacing w:val="60"/>
                <w:sz w:val="24"/>
              </w:rPr>
              <w:t>BEI STÖRUNGEN</w:t>
            </w:r>
          </w:p>
        </w:tc>
      </w:tr>
      <w:tr w:rsidR="00AE68D0" w14:paraId="61D08388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2C12A1A8" w14:textId="77777777" w:rsidR="00AE68D0" w:rsidRPr="00B147FD" w:rsidRDefault="0079061B">
            <w:pPr>
              <w:spacing w:before="72" w:after="72"/>
              <w:ind w:left="1361"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Bei Störungen Arbeiten einstellen, sichern und den Vorgesetzten benachrichtigen.</w:t>
            </w:r>
          </w:p>
        </w:tc>
      </w:tr>
      <w:tr w:rsidR="00AE68D0" w14:paraId="620BDD6B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1752E445" w14:textId="77777777" w:rsidR="00AE68D0" w:rsidRDefault="00AE68D0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</w:tr>
      <w:tr w:rsidR="00AE68D0" w14:paraId="166511E9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7C3A2E1B" w14:textId="77777777" w:rsidR="00AE68D0" w:rsidRDefault="002A2412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644CD63E">
                <v:shape id="_x0000_i1027" type="#_x0000_t75" style="width:50.25pt;height:50.25pt" o:ole="">
                  <v:imagedata r:id="rId9" o:title=""/>
                </v:shape>
                <o:OLEObject Type="Embed" ProgID="PBrush" ShapeID="_x0000_i1027" DrawAspect="Content" ObjectID="_1738579947" r:id="rId10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5F07B2A6" w14:textId="77777777" w:rsidR="00AE68D0" w:rsidRPr="00B147FD" w:rsidRDefault="0079061B" w:rsidP="00B147FD">
            <w:pPr>
              <w:numPr>
                <w:ilvl w:val="0"/>
                <w:numId w:val="3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Ruhe bewahren.</w:t>
            </w:r>
          </w:p>
          <w:p w14:paraId="455D796C" w14:textId="77777777" w:rsidR="0079061B" w:rsidRPr="00B147FD" w:rsidRDefault="0079061B" w:rsidP="00B147FD">
            <w:pPr>
              <w:numPr>
                <w:ilvl w:val="0"/>
                <w:numId w:val="3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Ersthelfer heranziehen.</w:t>
            </w:r>
          </w:p>
          <w:p w14:paraId="2E080C63" w14:textId="77777777" w:rsidR="0079061B" w:rsidRPr="00B147FD" w:rsidRDefault="0079061B" w:rsidP="00B147FD">
            <w:pPr>
              <w:numPr>
                <w:ilvl w:val="0"/>
                <w:numId w:val="3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Notruf: 112</w:t>
            </w:r>
          </w:p>
          <w:p w14:paraId="05CFF7E0" w14:textId="77777777" w:rsidR="0079061B" w:rsidRDefault="0079061B" w:rsidP="00B147FD">
            <w:pPr>
              <w:numPr>
                <w:ilvl w:val="0"/>
                <w:numId w:val="3"/>
              </w:numPr>
              <w:tabs>
                <w:tab w:val="clear" w:pos="357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 w:rsidRPr="00B147FD">
              <w:rPr>
                <w:rFonts w:ascii="Arial" w:hAnsi="Arial"/>
              </w:rPr>
              <w:t>Unfall melden.</w:t>
            </w:r>
          </w:p>
        </w:tc>
      </w:tr>
      <w:tr w:rsidR="00AE68D0" w14:paraId="71F510AF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3E6CE0B3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 w14:paraId="2D34C626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14:paraId="618E0BB9" w14:textId="77777777" w:rsidR="00AE68D0" w:rsidRPr="00B147FD" w:rsidRDefault="0079061B" w:rsidP="00B147FD">
            <w:pPr>
              <w:numPr>
                <w:ilvl w:val="0"/>
                <w:numId w:val="4"/>
              </w:numPr>
              <w:spacing w:before="72"/>
              <w:ind w:right="1361"/>
              <w:rPr>
                <w:rFonts w:ascii="Arial" w:hAnsi="Arial"/>
              </w:rPr>
            </w:pPr>
            <w:r w:rsidRPr="00B147FD">
              <w:rPr>
                <w:rFonts w:ascii="Arial" w:hAnsi="Arial"/>
              </w:rPr>
              <w:t>Instandhaltungsarbeiten dürfen nur von Fachkundigen und beauftragten Personen durchgeführt werden.</w:t>
            </w:r>
          </w:p>
          <w:p w14:paraId="2164A5AE" w14:textId="77777777" w:rsidR="0079061B" w:rsidRDefault="0079061B" w:rsidP="00B147FD">
            <w:pPr>
              <w:numPr>
                <w:ilvl w:val="0"/>
                <w:numId w:val="4"/>
              </w:numPr>
              <w:spacing w:after="72"/>
              <w:ind w:right="1361"/>
              <w:rPr>
                <w:rFonts w:ascii="Arial" w:hAnsi="Arial"/>
                <w:sz w:val="22"/>
              </w:rPr>
            </w:pPr>
            <w:r w:rsidRPr="00B147FD">
              <w:rPr>
                <w:rFonts w:ascii="Arial" w:hAnsi="Arial"/>
              </w:rPr>
              <w:t>Abfallmaterialien in die für die Entsorgung vorgesehenen Sammelbehälter geben.</w:t>
            </w:r>
          </w:p>
        </w:tc>
      </w:tr>
    </w:tbl>
    <w:p w14:paraId="5CA273A6" w14:textId="77777777" w:rsidR="00AE68D0" w:rsidRDefault="00AE68D0">
      <w:pPr>
        <w:rPr>
          <w:rFonts w:ascii="Arial" w:hAnsi="Arial"/>
        </w:rPr>
      </w:pPr>
    </w:p>
    <w:sectPr w:rsidR="00AE68D0" w:rsidSect="00B147FD">
      <w:pgSz w:w="11906" w:h="16838"/>
      <w:pgMar w:top="567" w:right="680" w:bottom="45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93D"/>
    <w:multiLevelType w:val="hybridMultilevel"/>
    <w:tmpl w:val="87C8A3BE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133F"/>
    <w:multiLevelType w:val="hybridMultilevel"/>
    <w:tmpl w:val="2D3266E2"/>
    <w:lvl w:ilvl="0" w:tplc="CD92001E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4D94698C"/>
    <w:multiLevelType w:val="hybridMultilevel"/>
    <w:tmpl w:val="E77ACFA8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351E"/>
    <w:multiLevelType w:val="hybridMultilevel"/>
    <w:tmpl w:val="1F6CB40C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D6353"/>
    <w:multiLevelType w:val="hybridMultilevel"/>
    <w:tmpl w:val="611268F6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157999">
    <w:abstractNumId w:val="0"/>
  </w:num>
  <w:num w:numId="2" w16cid:durableId="1369913714">
    <w:abstractNumId w:val="3"/>
  </w:num>
  <w:num w:numId="3" w16cid:durableId="605164226">
    <w:abstractNumId w:val="2"/>
  </w:num>
  <w:num w:numId="4" w16cid:durableId="1678844217">
    <w:abstractNumId w:val="1"/>
  </w:num>
  <w:num w:numId="5" w16cid:durableId="642852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D"/>
    <w:rsid w:val="00017EE5"/>
    <w:rsid w:val="000A0EC0"/>
    <w:rsid w:val="0014476E"/>
    <w:rsid w:val="00255B06"/>
    <w:rsid w:val="00276A73"/>
    <w:rsid w:val="002A2412"/>
    <w:rsid w:val="002F205F"/>
    <w:rsid w:val="004B7896"/>
    <w:rsid w:val="00634879"/>
    <w:rsid w:val="00696B96"/>
    <w:rsid w:val="0079061B"/>
    <w:rsid w:val="0086125D"/>
    <w:rsid w:val="00943D65"/>
    <w:rsid w:val="00985B40"/>
    <w:rsid w:val="00A729C5"/>
    <w:rsid w:val="00AD12C1"/>
    <w:rsid w:val="00AE68D0"/>
    <w:rsid w:val="00B147FD"/>
    <w:rsid w:val="00CA0A9A"/>
    <w:rsid w:val="00D25ECF"/>
    <w:rsid w:val="00D32365"/>
    <w:rsid w:val="00D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EC92D"/>
  <w15:chartTrackingRefBased/>
  <w15:docId w15:val="{18B188F9-0304-449E-A6A2-C129AE0B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Schmid, Wolfram, BGHM</cp:lastModifiedBy>
  <cp:revision>3</cp:revision>
  <cp:lastPrinted>2006-11-29T09:16:00Z</cp:lastPrinted>
  <dcterms:created xsi:type="dcterms:W3CDTF">2023-02-22T12:39:00Z</dcterms:created>
  <dcterms:modified xsi:type="dcterms:W3CDTF">2023-02-22T13:06:00Z</dcterms:modified>
</cp:coreProperties>
</file>