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EACD" w14:textId="146D0301" w:rsidR="00CD649D" w:rsidRDefault="000E1247" w:rsidP="00C05D33">
      <w:pPr>
        <w:shd w:val="clear" w:color="auto" w:fill="FFFFFF"/>
        <w:spacing w:after="150" w:line="360" w:lineRule="atLeas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Allgemeine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Auskunftpflichten</w:t>
      </w:r>
      <w:proofErr w:type="spellEnd"/>
      <w:r w:rsidR="006000CA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– Bau- und Montagestellen</w:t>
      </w:r>
    </w:p>
    <w:p w14:paraId="4D7AAED3" w14:textId="7648D838" w:rsidR="000E1247" w:rsidRPr="00C05D33" w:rsidRDefault="001A0280" w:rsidP="000E1247">
      <w:pPr>
        <w:rPr>
          <w:rFonts w:ascii="Arial" w:hAnsi="Arial" w:cs="Arial"/>
          <w:color w:val="4472C4" w:themeColor="accent5"/>
        </w:rPr>
      </w:pPr>
      <w:hyperlink r:id="rId11" w:history="1">
        <w:r w:rsidR="000E1247">
          <w:rPr>
            <w:rStyle w:val="Hyperlink"/>
            <w:rFonts w:ascii="Arial" w:hAnsi="Arial" w:cs="Arial"/>
          </w:rPr>
          <w:t>SGB VII, § 19 Abs.2, S.1 Nr. 2</w:t>
        </w:r>
      </w:hyperlink>
      <w:r w:rsidR="000E1247">
        <w:rPr>
          <w:rStyle w:val="Hyperlink"/>
          <w:rFonts w:ascii="Arial" w:hAnsi="Arial" w:cs="Arial"/>
        </w:rPr>
        <w:br/>
      </w:r>
    </w:p>
    <w:p w14:paraId="1E89F230" w14:textId="6994BBD2" w:rsidR="000E1247" w:rsidRPr="000E1247" w:rsidRDefault="000E1247" w:rsidP="005F2B24">
      <w:pPr>
        <w:shd w:val="clear" w:color="auto" w:fill="FFFFFF"/>
        <w:spacing w:after="24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Unternehmerinnen und Unternehmer müssen</w:t>
      </w:r>
      <w:r w:rsidRPr="00A83407">
        <w:rPr>
          <w:rFonts w:ascii="Arial" w:hAnsi="Arial" w:cs="Arial"/>
          <w:color w:val="000000"/>
        </w:rPr>
        <w:t xml:space="preserve"> </w:t>
      </w:r>
      <w:r w:rsidR="00CE7A68" w:rsidRPr="00CE7A68">
        <w:rPr>
          <w:rFonts w:ascii="Arial" w:hAnsi="Arial" w:cs="Arial"/>
          <w:color w:val="000000"/>
        </w:rPr>
        <w:t>den Aufsichtspersonen des zuständigen Trägers der gesetzlichen Unfallversicherung auf Verlangen erforderliche Auskünfte geben</w:t>
      </w:r>
      <w:r>
        <w:rPr>
          <w:rFonts w:ascii="Arial" w:hAnsi="Arial" w:cs="Arial"/>
          <w:color w:val="000000"/>
        </w:rPr>
        <w:t xml:space="preserve">, damit diese </w:t>
      </w:r>
      <w:r w:rsidR="002F4D0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hrer Überwachungsaufgabe gerecht werden können. Das kann auch die Anzeige von Bau- und Montagearbeiten sein, deren Umfang mehr als 10 Arbeitsschichten beträgt.</w:t>
      </w:r>
    </w:p>
    <w:p w14:paraId="465358CF" w14:textId="744142F0" w:rsidR="00C05D33" w:rsidRPr="00620ADE" w:rsidRDefault="00C05D33" w:rsidP="00C05D33">
      <w:pPr>
        <w:shd w:val="clear" w:color="auto" w:fill="FFFFFF"/>
        <w:spacing w:after="150" w:line="360" w:lineRule="atLeas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Personenaufnahmemittel</w:t>
      </w:r>
    </w:p>
    <w:p w14:paraId="0682D0C0" w14:textId="14AA3653" w:rsidR="00C05D33" w:rsidRPr="00C05D33" w:rsidRDefault="001A0280" w:rsidP="00C05D33">
      <w:pPr>
        <w:rPr>
          <w:rFonts w:ascii="Arial" w:hAnsi="Arial" w:cs="Arial"/>
          <w:color w:val="4472C4" w:themeColor="accent5"/>
        </w:rPr>
      </w:pPr>
      <w:hyperlink r:id="rId12" w:history="1">
        <w:r w:rsidR="00C05D33" w:rsidRPr="009B0C5B">
          <w:rPr>
            <w:rStyle w:val="Hyperlink"/>
            <w:rFonts w:ascii="Arial" w:hAnsi="Arial" w:cs="Arial"/>
          </w:rPr>
          <w:t>DGUV Regel 101-105 „Hochziehbare Personenaufnahmemittel“</w:t>
        </w:r>
      </w:hyperlink>
    </w:p>
    <w:p w14:paraId="177108DB" w14:textId="5C97D3BC" w:rsidR="00C05D33" w:rsidRDefault="00C05D33" w:rsidP="005F2B2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38EF72B" w14:textId="7424E3B6" w:rsidR="00C05D33" w:rsidRPr="00A83407" w:rsidRDefault="0098651A" w:rsidP="005F2B24">
      <w:pPr>
        <w:shd w:val="clear" w:color="auto" w:fill="FFFFFF"/>
        <w:spacing w:after="24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Unternehmerinnen und Unternehmer müssen</w:t>
      </w:r>
      <w:r w:rsidR="00C05D33" w:rsidRPr="00A83407">
        <w:rPr>
          <w:rFonts w:ascii="Arial" w:hAnsi="Arial" w:cs="Arial"/>
          <w:color w:val="000000"/>
        </w:rPr>
        <w:t xml:space="preserve"> die erste Inbetriebnahme des hochzie</w:t>
      </w:r>
      <w:r w:rsidR="00C05D33">
        <w:rPr>
          <w:rFonts w:ascii="Arial" w:hAnsi="Arial" w:cs="Arial"/>
          <w:color w:val="000000"/>
        </w:rPr>
        <w:t xml:space="preserve">hbaren Personenaufnahmemittels </w:t>
      </w:r>
      <w:r w:rsidR="00C05D33" w:rsidRPr="00A83407">
        <w:rPr>
          <w:rFonts w:ascii="Arial" w:hAnsi="Arial" w:cs="Arial"/>
          <w:color w:val="000000"/>
        </w:rPr>
        <w:t xml:space="preserve">dem zuständigen </w:t>
      </w:r>
      <w:r w:rsidR="004178BA">
        <w:rPr>
          <w:rFonts w:ascii="Arial" w:hAnsi="Arial" w:cs="Arial"/>
          <w:color w:val="000000"/>
        </w:rPr>
        <w:t xml:space="preserve">Träger der gesetzlichen </w:t>
      </w:r>
      <w:r w:rsidR="00C05D33" w:rsidRPr="00A83407">
        <w:rPr>
          <w:rFonts w:ascii="Arial" w:hAnsi="Arial" w:cs="Arial"/>
          <w:color w:val="000000"/>
        </w:rPr>
        <w:t>Unfallversicherung schriftlich anzeigen, auf Verlangen auch die Inbetriebnahme nach längeren Arbeitspausen und nach Standortwechsel. Die Anzeige muss mindestens 14 Tage vor dem Einsatz erfolgen.</w:t>
      </w:r>
    </w:p>
    <w:p w14:paraId="7EAD06E8" w14:textId="6642FA7F" w:rsidR="00C05D33" w:rsidRPr="00620ADE" w:rsidRDefault="00C05D33" w:rsidP="00C05D33">
      <w:pPr>
        <w:shd w:val="clear" w:color="auto" w:fill="FFFFFF"/>
        <w:spacing w:after="150" w:line="360" w:lineRule="atLeas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Kontaminierte Bereiche</w:t>
      </w:r>
    </w:p>
    <w:p w14:paraId="4EEEEDC3" w14:textId="0643E43A" w:rsidR="00C05D33" w:rsidRPr="00C05D33" w:rsidRDefault="001A0280" w:rsidP="00C05D33">
      <w:pPr>
        <w:rPr>
          <w:rFonts w:ascii="Arial" w:hAnsi="Arial" w:cs="Arial"/>
          <w:color w:val="4472C4" w:themeColor="accent5"/>
        </w:rPr>
      </w:pPr>
      <w:hyperlink r:id="rId13" w:history="1">
        <w:r w:rsidR="00C05D33" w:rsidRPr="009B0C5B">
          <w:rPr>
            <w:rStyle w:val="Hyperlink"/>
            <w:rFonts w:ascii="Arial" w:hAnsi="Arial" w:cs="Arial"/>
          </w:rPr>
          <w:t>DGUV Regel 101-104 „Kontaminierte Bereiche“</w:t>
        </w:r>
      </w:hyperlink>
    </w:p>
    <w:p w14:paraId="6E2494AB" w14:textId="4121EBC7" w:rsidR="00C05D33" w:rsidRDefault="00C05D33" w:rsidP="005F2B2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F2438DE" w14:textId="15687B9F" w:rsidR="00C05D33" w:rsidRPr="00C05D33" w:rsidRDefault="0098651A" w:rsidP="00C05D33">
      <w:pPr>
        <w:shd w:val="clear" w:color="auto" w:fill="FFFFFF"/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Auftragnehmer und Auftragnehmerinnen müssen</w:t>
      </w:r>
      <w:r w:rsidR="00C05D33" w:rsidRPr="00C05D33">
        <w:rPr>
          <w:rFonts w:ascii="Arial" w:hAnsi="Arial" w:cs="Arial"/>
          <w:color w:val="000000"/>
        </w:rPr>
        <w:t xml:space="preserve"> Bauarbeiten in kontaminierten Bereichen spätestens vier Wochen vor ihrem Beginn </w:t>
      </w:r>
      <w:r w:rsidR="004178BA">
        <w:rPr>
          <w:rFonts w:ascii="Arial" w:hAnsi="Arial" w:cs="Arial"/>
          <w:color w:val="000000"/>
        </w:rPr>
        <w:t>dem zuständigen Träger der gesetzlichen Unfallversicherung</w:t>
      </w:r>
      <w:r w:rsidR="005F2B24">
        <w:rPr>
          <w:rFonts w:ascii="Arial" w:hAnsi="Arial" w:cs="Arial"/>
          <w:color w:val="000000"/>
        </w:rPr>
        <w:t xml:space="preserve"> </w:t>
      </w:r>
      <w:r w:rsidR="00C05D33" w:rsidRPr="00C05D33">
        <w:rPr>
          <w:rFonts w:ascii="Arial" w:hAnsi="Arial" w:cs="Arial"/>
          <w:color w:val="000000"/>
        </w:rPr>
        <w:t xml:space="preserve">schriftlich anzeigen. Der Anzeige sind beizufügen: </w:t>
      </w:r>
    </w:p>
    <w:p w14:paraId="6BA66D1E" w14:textId="77777777" w:rsidR="00C05D33" w:rsidRPr="00C05D33" w:rsidRDefault="00C05D33" w:rsidP="00C05D33">
      <w:pPr>
        <w:pStyle w:val="Listenabsatz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eine zusammenfassende Darstellung und Bewertung der im kontaminierten Bereich vermuteten oder bekannten Gefahrstoffe </w:t>
      </w:r>
    </w:p>
    <w:p w14:paraId="6AB51B3F" w14:textId="77777777" w:rsidR="00C05D33" w:rsidRPr="00C05D33" w:rsidRDefault="00C05D33" w:rsidP="00C05D33">
      <w:pPr>
        <w:pStyle w:val="Listenabsatz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Beschreibung der vorgesehenen Baumaßnahme und der zugehörigen Arbeitsverfahren</w:t>
      </w:r>
    </w:p>
    <w:p w14:paraId="40E329C3" w14:textId="3993294D" w:rsidR="00C05D33" w:rsidRPr="00C05D33" w:rsidRDefault="00C05D33" w:rsidP="00C05D33">
      <w:pPr>
        <w:pStyle w:val="Listenabsatz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seitens des Auftragnehmers</w:t>
      </w:r>
      <w:r w:rsidR="0098651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/der Auftragnehmerin</w:t>
      </w: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vorgesehenen Sicherheitsmaßnahmen</w:t>
      </w:r>
    </w:p>
    <w:p w14:paraId="65C5EA90" w14:textId="77777777" w:rsidR="00C05D33" w:rsidRPr="00C05D33" w:rsidRDefault="00C05D33" w:rsidP="00C05D33">
      <w:pPr>
        <w:pStyle w:val="Listenabsatz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Betriebsanweisung</w:t>
      </w:r>
    </w:p>
    <w:p w14:paraId="74C49683" w14:textId="77777777" w:rsidR="00C05D33" w:rsidRPr="00C05D33" w:rsidRDefault="00C05D33" w:rsidP="005F2B24">
      <w:pPr>
        <w:shd w:val="clear" w:color="auto" w:fill="FFFFFF"/>
        <w:spacing w:after="240" w:line="312" w:lineRule="auto"/>
        <w:jc w:val="both"/>
        <w:rPr>
          <w:rFonts w:ascii="Arial" w:hAnsi="Arial" w:cs="Arial"/>
          <w:color w:val="000000"/>
        </w:rPr>
      </w:pPr>
      <w:r w:rsidRPr="00C05D33">
        <w:rPr>
          <w:rFonts w:ascii="Arial" w:hAnsi="Arial" w:cs="Arial"/>
          <w:color w:val="000000"/>
        </w:rPr>
        <w:t>Für Arbeiten zur Sanierung von Gebäudeschadstoffen beträgt die Anzeigefrist zwei Wochen.</w:t>
      </w:r>
    </w:p>
    <w:p w14:paraId="34CF17A0" w14:textId="78042512" w:rsidR="00C05D33" w:rsidRPr="00620ADE" w:rsidRDefault="00C05D33" w:rsidP="00C05D33">
      <w:pPr>
        <w:shd w:val="clear" w:color="auto" w:fill="FFFFFF"/>
        <w:spacing w:after="150" w:line="360" w:lineRule="atLeas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Asbest</w:t>
      </w:r>
    </w:p>
    <w:p w14:paraId="07CA2EAB" w14:textId="74333E8D" w:rsidR="00C05D33" w:rsidRPr="00C05D33" w:rsidRDefault="001A0280" w:rsidP="00C05D33">
      <w:pPr>
        <w:rPr>
          <w:rFonts w:ascii="Arial" w:hAnsi="Arial" w:cs="Arial"/>
          <w:color w:val="4472C4" w:themeColor="accent5"/>
        </w:rPr>
      </w:pPr>
      <w:hyperlink r:id="rId14" w:history="1">
        <w:r w:rsidR="00C05D33" w:rsidRPr="009B0C5B">
          <w:rPr>
            <w:rStyle w:val="Hyperlink"/>
            <w:rFonts w:ascii="Arial" w:hAnsi="Arial" w:cs="Arial"/>
          </w:rPr>
          <w:t>TRGS 519 „Asbest - Abbruch-, Sanierungs- oder Instandhaltungsarbeiten“</w:t>
        </w:r>
      </w:hyperlink>
    </w:p>
    <w:p w14:paraId="6055A813" w14:textId="1732F57F" w:rsidR="00C05D33" w:rsidRDefault="00C05D33" w:rsidP="005F2B2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26D0BEB" w14:textId="645B2DB2" w:rsidR="00C05D33" w:rsidRPr="00C05D33" w:rsidRDefault="00C05D33" w:rsidP="00C05D33">
      <w:pPr>
        <w:shd w:val="clear" w:color="auto" w:fill="FFFFFF"/>
        <w:spacing w:line="312" w:lineRule="auto"/>
        <w:jc w:val="both"/>
        <w:rPr>
          <w:rFonts w:ascii="Arial" w:hAnsi="Arial" w:cs="Arial"/>
          <w:color w:val="000000"/>
        </w:rPr>
      </w:pPr>
      <w:r w:rsidRPr="00C05D33">
        <w:rPr>
          <w:rFonts w:ascii="Arial" w:hAnsi="Arial" w:cs="Arial"/>
          <w:color w:val="000000"/>
        </w:rPr>
        <w:t>Tätigkeiten mit asbesthaltigen Materialien sind spätestens 7 Tage vor Beginn der Arbeiten anzuzeigen. Für wechselnde Arbeitsstätten (z.</w:t>
      </w:r>
      <w:r w:rsidR="0098651A">
        <w:rPr>
          <w:rFonts w:ascii="Arial" w:hAnsi="Arial" w:cs="Arial"/>
          <w:color w:val="000000"/>
        </w:rPr>
        <w:t xml:space="preserve"> </w:t>
      </w:r>
      <w:r w:rsidRPr="00C05D33">
        <w:rPr>
          <w:rFonts w:ascii="Arial" w:hAnsi="Arial" w:cs="Arial"/>
          <w:color w:val="000000"/>
        </w:rPr>
        <w:t xml:space="preserve">B. Baustellen) ist eine objektbezogene Anzeige erforderlich. </w:t>
      </w:r>
      <w:r w:rsidR="004178BA">
        <w:rPr>
          <w:rFonts w:ascii="Arial" w:hAnsi="Arial" w:cs="Arial"/>
          <w:color w:val="000000"/>
        </w:rPr>
        <w:t>Sie</w:t>
      </w:r>
      <w:r w:rsidR="004178BA" w:rsidRPr="00C05D33">
        <w:rPr>
          <w:rFonts w:ascii="Arial" w:hAnsi="Arial" w:cs="Arial"/>
          <w:color w:val="000000"/>
        </w:rPr>
        <w:t xml:space="preserve"> </w:t>
      </w:r>
      <w:r w:rsidRPr="00C05D33">
        <w:rPr>
          <w:rFonts w:ascii="Arial" w:hAnsi="Arial" w:cs="Arial"/>
          <w:color w:val="000000"/>
        </w:rPr>
        <w:t>ist an die für die Lage des Objekts zuständige Arbeitsschut</w:t>
      </w:r>
      <w:r>
        <w:rPr>
          <w:rFonts w:ascii="Arial" w:hAnsi="Arial" w:cs="Arial"/>
          <w:color w:val="000000"/>
        </w:rPr>
        <w:t>z</w:t>
      </w:r>
      <w:r w:rsidRPr="00C05D33">
        <w:rPr>
          <w:rFonts w:ascii="Arial" w:hAnsi="Arial" w:cs="Arial"/>
          <w:color w:val="000000"/>
        </w:rPr>
        <w:t xml:space="preserve">behörde zu richten. Eine Durchschrift der Anzeige ist dem zuständigen Träger der gesetzlichen Unfallversicherung zu übersenden. Die Anzeige muss insbesondere folgende Angaben enthalten: </w:t>
      </w:r>
    </w:p>
    <w:p w14:paraId="5C6F203E" w14:textId="77777777" w:rsidR="00C05D33" w:rsidRPr="00C05D33" w:rsidRDefault="00C05D33" w:rsidP="00C05D33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Lage der Arbeitsstätte</w:t>
      </w:r>
    </w:p>
    <w:p w14:paraId="2E34DDB1" w14:textId="7EEAA1AA" w:rsidR="00C05D33" w:rsidRPr="00C05D33" w:rsidRDefault="00C05D33" w:rsidP="00C05D33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Asbestprodukte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</w:t>
      </w: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</w:t>
      </w:r>
    </w:p>
    <w:p w14:paraId="3D2989BF" w14:textId="77777777" w:rsidR="00C05D33" w:rsidRPr="00C05D33" w:rsidRDefault="00C05D33" w:rsidP="00C05D33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durchzuführende Tätigkeiten und angewendete Verfahren</w:t>
      </w:r>
    </w:p>
    <w:p w14:paraId="7D9631EF" w14:textId="77777777" w:rsidR="00C05D33" w:rsidRPr="00C05D33" w:rsidRDefault="00C05D33" w:rsidP="00C05D33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Anzahl der beteiligten Beschäftigten</w:t>
      </w:r>
    </w:p>
    <w:p w14:paraId="06069DF5" w14:textId="77777777" w:rsidR="00C05D33" w:rsidRPr="00C05D33" w:rsidRDefault="00C05D33" w:rsidP="00C05D33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Beginn und Dauer der Tätigkeiten</w:t>
      </w:r>
    </w:p>
    <w:p w14:paraId="46E6647E" w14:textId="77777777" w:rsidR="00C05D33" w:rsidRPr="00C05D33" w:rsidRDefault="00C05D33" w:rsidP="00C05D33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Maßnahmen zur Begrenzung der Asbestexposition und weitere Schutzmaßnahmen</w:t>
      </w:r>
    </w:p>
    <w:p w14:paraId="5FCB86AD" w14:textId="60F33B54" w:rsidR="00237304" w:rsidRPr="004E1253" w:rsidRDefault="00C05D33" w:rsidP="00175E1B">
      <w:pPr>
        <w:pStyle w:val="Listenabsatz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05D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Maßnahmen und Ort der Abfallbehandlung</w:t>
      </w:r>
    </w:p>
    <w:sectPr w:rsidR="00237304" w:rsidRPr="004E1253" w:rsidSect="00C05D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1942" w14:textId="77777777" w:rsidR="00336725" w:rsidRDefault="00336725" w:rsidP="00A17F53">
      <w:r>
        <w:separator/>
      </w:r>
    </w:p>
  </w:endnote>
  <w:endnote w:type="continuationSeparator" w:id="0">
    <w:p w14:paraId="5107EF5B" w14:textId="77777777" w:rsidR="00336725" w:rsidRDefault="00336725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BF41" w14:textId="77777777" w:rsidR="001A0280" w:rsidRDefault="001A02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02EF3422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00308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1A02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00308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02EF3422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00308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1A02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00308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65EE" w14:textId="77777777" w:rsidR="001A0280" w:rsidRDefault="001A02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BCF9" w14:textId="77777777" w:rsidR="00336725" w:rsidRDefault="00336725" w:rsidP="00A17F53">
      <w:r>
        <w:separator/>
      </w:r>
    </w:p>
  </w:footnote>
  <w:footnote w:type="continuationSeparator" w:id="0">
    <w:p w14:paraId="6ECC3471" w14:textId="77777777" w:rsidR="00336725" w:rsidRDefault="00336725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CECD" w14:textId="77777777" w:rsidR="001A0280" w:rsidRDefault="001A02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AE6FB22" w:rsidR="00A17F53" w:rsidRDefault="00D54CB1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252C9066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1A3D11FC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83870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19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397FE880" w:rsidR="009C7CB8" w:rsidRPr="00B72F80" w:rsidRDefault="00C05D3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INFOBLATT: Anzeig</w:t>
                          </w:r>
                          <w:r w:rsidR="00FF53CD" w:rsidRPr="00AF5C93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pflicht</w:t>
                          </w:r>
                          <w:r w:rsidR="00FF53CD" w:rsidRPr="00AF5C93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81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" filled="f" stroked="f">
              <v:textbox>
                <w:txbxContent>
                  <w:p w14:paraId="57B7C662" w14:textId="397FE880" w:rsidR="009C7CB8" w:rsidRPr="00B72F80" w:rsidRDefault="00C05D33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INFOBLATT: Anzeig</w:t>
                    </w:r>
                    <w:r w:rsidR="00FF53CD" w:rsidRPr="00AF5C93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pflicht</w:t>
                    </w:r>
                    <w:r w:rsidR="00FF53CD" w:rsidRPr="00AF5C93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C26" w14:textId="77777777" w:rsidR="001A0280" w:rsidRDefault="001A02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E02"/>
    <w:multiLevelType w:val="hybridMultilevel"/>
    <w:tmpl w:val="4B3E1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18EF"/>
    <w:multiLevelType w:val="hybridMultilevel"/>
    <w:tmpl w:val="69AEB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03088"/>
    <w:rsid w:val="0002257B"/>
    <w:rsid w:val="000E1247"/>
    <w:rsid w:val="00175E1B"/>
    <w:rsid w:val="001A0280"/>
    <w:rsid w:val="001B0FFA"/>
    <w:rsid w:val="001F0A24"/>
    <w:rsid w:val="002351AC"/>
    <w:rsid w:val="00237304"/>
    <w:rsid w:val="002A2559"/>
    <w:rsid w:val="002B61C6"/>
    <w:rsid w:val="002F4D0E"/>
    <w:rsid w:val="00336725"/>
    <w:rsid w:val="004178BA"/>
    <w:rsid w:val="004E1253"/>
    <w:rsid w:val="00543561"/>
    <w:rsid w:val="005C002B"/>
    <w:rsid w:val="005F2B24"/>
    <w:rsid w:val="006000CA"/>
    <w:rsid w:val="0062708A"/>
    <w:rsid w:val="00656099"/>
    <w:rsid w:val="00670E9B"/>
    <w:rsid w:val="0071471C"/>
    <w:rsid w:val="007854AF"/>
    <w:rsid w:val="007921B2"/>
    <w:rsid w:val="007B3219"/>
    <w:rsid w:val="00892AA7"/>
    <w:rsid w:val="00896F7B"/>
    <w:rsid w:val="00934E76"/>
    <w:rsid w:val="009568F0"/>
    <w:rsid w:val="00967105"/>
    <w:rsid w:val="0098651A"/>
    <w:rsid w:val="009B0C5B"/>
    <w:rsid w:val="009C7CB8"/>
    <w:rsid w:val="00A139C4"/>
    <w:rsid w:val="00A16A11"/>
    <w:rsid w:val="00A17F53"/>
    <w:rsid w:val="00AD7F29"/>
    <w:rsid w:val="00AF5C93"/>
    <w:rsid w:val="00B22253"/>
    <w:rsid w:val="00B31252"/>
    <w:rsid w:val="00B72F80"/>
    <w:rsid w:val="00C05D33"/>
    <w:rsid w:val="00C66402"/>
    <w:rsid w:val="00CD649D"/>
    <w:rsid w:val="00CE7A68"/>
    <w:rsid w:val="00D36780"/>
    <w:rsid w:val="00D54CB1"/>
    <w:rsid w:val="00D552BD"/>
    <w:rsid w:val="00DA6182"/>
    <w:rsid w:val="00E27DB8"/>
    <w:rsid w:val="00EC6D37"/>
    <w:rsid w:val="00F24B7F"/>
    <w:rsid w:val="00FA2E07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uiPriority w:val="34"/>
    <w:qFormat/>
    <w:rsid w:val="00C05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D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guv.de/fb-bauwesen/sachgebiete/sanierung-und-bauwerksunterhalt/kontaminierte-bereiche/index.j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blikationen.dguv.de/regelwerk/dguv-regeln/948/hochziehbare-personenaufnahmemitte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setze-im-internet.de/sgb_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ua.de/DE/Angebote/Rechtstexte-und-Technische-Regeln/Regelwerk/TRGS/TRGS-519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RN2K4F7NMTDH-353-15002</_dlc_DocId>
    <_dlc_DocIdUrl xmlns="937d944a-4a22-4edb-af26-40c3f9d5fca8">
      <Url>https://arbeitsbereiche.bghm.de/organisation/HPD/PBNOR/_layouts/15/DocIdRedir.aspx?ID=RN2K4F7NMTDH-353-15002</Url>
      <Description>RN2K4F7NMTDH-353-15002</Description>
    </_dlc_DocIdUrl>
  </documentManagement>
</p:properti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EFA42D-06AF-4FF0-80BB-3B0D6C9B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2762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2021-05-26T03:56:00Z</dcterms:created>
  <dcterms:modified xsi:type="dcterms:W3CDTF">2021-05-26T12:01:00Z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70981d15-6069-4684-b233-25dee159d003</vt:lpwstr>
  </property>
</Properties>
</file>